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88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开封市地价政策措施清理工作</w:t>
      </w:r>
      <w:r>
        <w:rPr>
          <w:rFonts w:hint="eastAsia" w:ascii="黑体" w:hAnsi="黑体" w:eastAsia="黑体" w:cs="黑体"/>
          <w:sz w:val="44"/>
          <w:szCs w:val="44"/>
        </w:rPr>
        <w:t>自查报告</w:t>
      </w:r>
    </w:p>
    <w:p>
      <w:pPr>
        <w:spacing w:line="588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88" w:lineRule="exact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spacing w:line="588" w:lineRule="exact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开封市自然资源和规划局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2020.12</w:t>
      </w:r>
      <w:bookmarkStart w:id="0" w:name="_GoBack"/>
      <w:bookmarkEnd w:id="0"/>
    </w:p>
    <w:p>
      <w:pPr>
        <w:spacing w:line="588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88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88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一、国家</w:t>
      </w:r>
      <w:r>
        <w:rPr>
          <w:rFonts w:hint="eastAsia" w:ascii="黑体" w:hAnsi="黑体" w:eastAsia="黑体"/>
          <w:sz w:val="32"/>
          <w:szCs w:val="32"/>
        </w:rPr>
        <w:t>地价政策措施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的执行情况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开封市严格执行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自然资源部出台的工业用地出让最低价标准及其实施、产业用地地价、出让地价评估等方面的政策规定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，没有压低地价等情况发生。</w:t>
      </w:r>
    </w:p>
    <w:p>
      <w:pPr>
        <w:spacing w:line="588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本地</w:t>
      </w:r>
      <w:r>
        <w:rPr>
          <w:rFonts w:hint="eastAsia" w:ascii="黑体" w:hAnsi="黑体" w:eastAsia="黑体"/>
          <w:sz w:val="32"/>
          <w:szCs w:val="32"/>
        </w:rPr>
        <w:t>地价政策措施清理工作开展情况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1、近年来，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结合：出让地价评估工作自查专项行动、城镇土地等别实施情况自评、土地评估机构与主管部门脱钩自查、省审计厅县域经济审计反馈问题整改、全省土地估价行业专项清查等各项工作，积极部署多次开展了</w:t>
      </w:r>
      <w:r>
        <w:rPr>
          <w:rFonts w:hint="eastAsia" w:ascii="仿宋_GB2312" w:hAnsi="仿宋_GB2312" w:eastAsia="仿宋_GB2312" w:cs="仿宋_GB2312"/>
          <w:sz w:val="32"/>
          <w:szCs w:val="32"/>
        </w:rPr>
        <w:t>地价政策措施清理工作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，取得了良好的效果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2．本地自行出台的地价政策措施情况。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（1）工业用地出让最低价标准及其实施方面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市严格执行《国土资源部关于发布实施〈全国工业用地出让最低价标准〉的通知》（国土资发〔2006〕307号）相关标准。开封市现行基准地价于2019年11月6日起执行，市区工业用地共划分为4个级别，工业最低价为330元/平方米、最高价为700元/平方米。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（2）产业用地地价方面。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我市严格执行产业用地政策，没有出现因为产业政策而擅自调低地价的现象。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(3)出让地价评估方面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我市的具体做法：市本级由4家土地估价机构对宗地出让起始价进行预评估，预评估结果集体决策，根据会议议定的出让价确定中标的土地估价机构；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下属县区具体做法：祥符区（开封县）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面向社会公开招聘16家评估公司建立土地评估机构库，每季度随机从库中抽取3-5家评估公司完成本季度出让地价评估工作，由区政府办公会集体研究决策出让价格；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val="en-US" w:eastAsia="zh-CN"/>
        </w:rPr>
        <w:t>通许县从县采购库里不定期选取一家评估公司进行出让地价评估，县政府处置领导组召开集体决策会议确认出让起始价。</w:t>
      </w:r>
    </w:p>
    <w:p>
      <w:pPr>
        <w:spacing w:line="588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、自查发现问题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及整改情况</w:t>
      </w:r>
    </w:p>
    <w:p>
      <w:pPr>
        <w:spacing w:line="588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经自查，我市</w:t>
      </w:r>
      <w:r>
        <w:rPr>
          <w:rFonts w:eastAsia="仿宋_GB2312"/>
          <w:sz w:val="32"/>
          <w:szCs w:val="32"/>
        </w:rPr>
        <w:t>自行出台的地价政策措施</w:t>
      </w:r>
      <w:r>
        <w:rPr>
          <w:rFonts w:hint="eastAsia" w:eastAsia="仿宋_GB2312"/>
          <w:sz w:val="32"/>
          <w:szCs w:val="32"/>
          <w:lang w:eastAsia="zh-CN"/>
        </w:rPr>
        <w:t>均符合</w:t>
      </w:r>
      <w:r>
        <w:rPr>
          <w:rFonts w:eastAsia="仿宋_GB2312"/>
          <w:sz w:val="32"/>
          <w:szCs w:val="32"/>
        </w:rPr>
        <w:t>自然资源部出台的政策规定。</w:t>
      </w:r>
    </w:p>
    <w:p>
      <w:pPr>
        <w:spacing w:line="588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</w:rPr>
        <w:t>针对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我市土地估价机构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自查发现的问题，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  <w:u w:val="none"/>
        </w:rPr>
        <w:t>一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  <w:u w:val="none"/>
        </w:rPr>
        <w:t>加大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学习</w:t>
      </w:r>
      <w:r>
        <w:rPr>
          <w:rFonts w:hint="eastAsia" w:ascii="仿宋_GB2312" w:eastAsia="仿宋_GB2312"/>
          <w:sz w:val="32"/>
          <w:szCs w:val="32"/>
          <w:u w:val="none"/>
        </w:rPr>
        <w:t>培训力度，提高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从业人员</w:t>
      </w:r>
      <w:r>
        <w:rPr>
          <w:rFonts w:hint="eastAsia" w:ascii="仿宋_GB2312" w:eastAsia="仿宋_GB2312"/>
          <w:sz w:val="32"/>
          <w:szCs w:val="32"/>
          <w:u w:val="none"/>
        </w:rPr>
        <w:t>业务水平；二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督促帮助各估价机构</w:t>
      </w:r>
      <w:r>
        <w:rPr>
          <w:rFonts w:hint="eastAsia" w:ascii="仿宋_GB2312" w:eastAsia="仿宋_GB2312"/>
          <w:sz w:val="32"/>
          <w:szCs w:val="32"/>
          <w:u w:val="none"/>
        </w:rPr>
        <w:t>加强基础资料搜集整理力度，为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从业人员</w:t>
      </w:r>
      <w:r>
        <w:rPr>
          <w:rFonts w:hint="eastAsia" w:ascii="仿宋_GB2312" w:eastAsia="仿宋_GB2312"/>
          <w:sz w:val="32"/>
          <w:szCs w:val="32"/>
          <w:u w:val="none"/>
        </w:rPr>
        <w:t>对当地市场进行深入分析提供依据；三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  <w:u w:val="none"/>
        </w:rPr>
        <w:t>提高对土地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估价报告</w:t>
      </w:r>
      <w:r>
        <w:rPr>
          <w:rFonts w:hint="eastAsia" w:ascii="仿宋_GB2312" w:eastAsia="仿宋_GB2312"/>
          <w:sz w:val="32"/>
          <w:szCs w:val="32"/>
          <w:u w:val="none"/>
        </w:rPr>
        <w:t>的审核标准，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要求各土地估价机构</w:t>
      </w:r>
      <w:r>
        <w:rPr>
          <w:rFonts w:hint="eastAsia" w:ascii="仿宋_GB2312" w:eastAsia="仿宋_GB2312"/>
          <w:sz w:val="32"/>
          <w:szCs w:val="32"/>
          <w:u w:val="none"/>
        </w:rPr>
        <w:t>相关评估报告逐一进行复查，发现问题及时上报，集体讨论解决办法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</w:t>
      </w:r>
    </w:p>
    <w:p>
      <w:pPr>
        <w:spacing w:line="588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、意见建议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1、地价管理与</w:t>
      </w:r>
      <w:r>
        <w:rPr>
          <w:rFonts w:hint="eastAsia" w:ascii="Times New Roman" w:hAnsi="Times New Roman" w:eastAsia="仿宋_GB2312"/>
          <w:sz w:val="32"/>
          <w:szCs w:val="32"/>
        </w:rPr>
        <w:t>低效用地再开发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相结合：</w:t>
      </w:r>
      <w:r>
        <w:rPr>
          <w:rFonts w:hint="eastAsia" w:ascii="Times New Roman" w:hAnsi="Times New Roman" w:eastAsia="仿宋_GB2312"/>
          <w:sz w:val="32"/>
          <w:szCs w:val="32"/>
        </w:rPr>
        <w:t>建立落后产能企业、低效用地企业退出机制。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目前</w:t>
      </w:r>
      <w:r>
        <w:rPr>
          <w:rFonts w:hint="eastAsia" w:ascii="Times New Roman" w:hAnsi="Times New Roman" w:eastAsia="仿宋_GB2312"/>
          <w:sz w:val="32"/>
          <w:szCs w:val="32"/>
        </w:rPr>
        <w:t>此项工作仅凭自然资源部门一家组织开展难度较大，需要与工信、发改、市场监管等部门集体研究出台政策，不能仅凭资源规划部门一家单打独斗。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充分运用地价管理政策，</w:t>
      </w:r>
      <w:r>
        <w:rPr>
          <w:rFonts w:hint="eastAsia" w:ascii="Times New Roman" w:hAnsi="Times New Roman" w:eastAsia="仿宋_GB2312"/>
          <w:sz w:val="32"/>
          <w:szCs w:val="32"/>
        </w:rPr>
        <w:t>建立和完善协议收回和依法转让机制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科学引导自主改造和政府收购储备。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2、地价管理与</w:t>
      </w:r>
      <w:r>
        <w:rPr>
          <w:rFonts w:hint="eastAsia" w:ascii="Times New Roman" w:hAnsi="Times New Roman" w:eastAsia="仿宋_GB2312"/>
          <w:sz w:val="32"/>
          <w:szCs w:val="32"/>
        </w:rPr>
        <w:t>推进存量土地处置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相结合：</w:t>
      </w:r>
      <w:r>
        <w:rPr>
          <w:rFonts w:hint="eastAsia" w:ascii="Times New Roman" w:hAnsi="Times New Roman" w:eastAsia="仿宋_GB2312"/>
          <w:sz w:val="32"/>
          <w:szCs w:val="32"/>
        </w:rPr>
        <w:t>着力发挥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地价管理政策、</w:t>
      </w:r>
      <w:r>
        <w:rPr>
          <w:rFonts w:hint="eastAsia" w:ascii="Times New Roman" w:hAnsi="Times New Roman" w:eastAsia="仿宋_GB2312"/>
          <w:sz w:val="32"/>
          <w:szCs w:val="32"/>
        </w:rPr>
        <w:t>土地用途管制对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存量土地</w:t>
      </w:r>
      <w:r>
        <w:rPr>
          <w:rFonts w:hint="eastAsia" w:ascii="Times New Roman" w:hAnsi="Times New Roman" w:eastAsia="仿宋_GB2312"/>
          <w:sz w:val="32"/>
          <w:szCs w:val="32"/>
        </w:rPr>
        <w:t>整合发展的引领和倒逼作用，立足用好现有存量土地，以土地循环利用为主导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严格建设用地投资强度和产出效益“双控”。根据产业生命周期，顺应“降成本”要求，加快普及中短期出让、先租后让、租赁等灵活多样的工业用地供应方式。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3、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运用地价政策措施</w:t>
      </w:r>
      <w:r>
        <w:rPr>
          <w:rFonts w:hint="eastAsia" w:ascii="Times New Roman" w:hAnsi="Times New Roman" w:eastAsia="仿宋_GB2312"/>
          <w:sz w:val="32"/>
          <w:szCs w:val="32"/>
        </w:rPr>
        <w:t>加强项目用地的精细化管理，建立项目用地、建设和产出、税收等信息的联通挂接，实现对土地利用情况的动态监测。对批而未供、闲置土地，落实责任，加大力度，及时清理处置。搞活土地使用权转让二级市场，为存量土地转让开发提供服务和监管。发挥土地使用税的调控作用，加强税收征管，采取与土地产出强度相挂钩的城镇土地使用税差别化税，形成有利于节约集约用地的经济倒逼机制。</w:t>
      </w:r>
    </w:p>
    <w:sectPr>
      <w:footerReference r:id="rId3" w:type="even"/>
      <w:pgSz w:w="11906" w:h="16838"/>
      <w:pgMar w:top="1985" w:right="1474" w:bottom="1418" w:left="1474" w:header="1985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4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/>
        <w:kern w:val="0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AA"/>
    <w:rsid w:val="0002727B"/>
    <w:rsid w:val="00033AC5"/>
    <w:rsid w:val="0007076E"/>
    <w:rsid w:val="000A7DAA"/>
    <w:rsid w:val="00101D26"/>
    <w:rsid w:val="00155BDB"/>
    <w:rsid w:val="001B6574"/>
    <w:rsid w:val="001C05AB"/>
    <w:rsid w:val="001C404B"/>
    <w:rsid w:val="00206365"/>
    <w:rsid w:val="00214E79"/>
    <w:rsid w:val="00220D01"/>
    <w:rsid w:val="002C18D6"/>
    <w:rsid w:val="002E7C3B"/>
    <w:rsid w:val="002F5062"/>
    <w:rsid w:val="00313261"/>
    <w:rsid w:val="003535B9"/>
    <w:rsid w:val="00375EEC"/>
    <w:rsid w:val="003A52B8"/>
    <w:rsid w:val="003D1FB2"/>
    <w:rsid w:val="00471FA3"/>
    <w:rsid w:val="004979F2"/>
    <w:rsid w:val="004A7AD4"/>
    <w:rsid w:val="00507C26"/>
    <w:rsid w:val="00533059"/>
    <w:rsid w:val="005434E4"/>
    <w:rsid w:val="00562DA0"/>
    <w:rsid w:val="0057292D"/>
    <w:rsid w:val="00590030"/>
    <w:rsid w:val="005D2BDF"/>
    <w:rsid w:val="005F12A0"/>
    <w:rsid w:val="0062702D"/>
    <w:rsid w:val="00650440"/>
    <w:rsid w:val="006569CA"/>
    <w:rsid w:val="0068017C"/>
    <w:rsid w:val="00686DE5"/>
    <w:rsid w:val="0069684B"/>
    <w:rsid w:val="006A0AC7"/>
    <w:rsid w:val="006B13AC"/>
    <w:rsid w:val="00731461"/>
    <w:rsid w:val="00740AD1"/>
    <w:rsid w:val="00750D9B"/>
    <w:rsid w:val="007810DC"/>
    <w:rsid w:val="0078773C"/>
    <w:rsid w:val="007A182D"/>
    <w:rsid w:val="007C147B"/>
    <w:rsid w:val="007F08A6"/>
    <w:rsid w:val="007F61DD"/>
    <w:rsid w:val="008216D1"/>
    <w:rsid w:val="0085797D"/>
    <w:rsid w:val="0087471E"/>
    <w:rsid w:val="008D31A3"/>
    <w:rsid w:val="00900899"/>
    <w:rsid w:val="00903DC8"/>
    <w:rsid w:val="00920BBF"/>
    <w:rsid w:val="0094138A"/>
    <w:rsid w:val="00944008"/>
    <w:rsid w:val="00A76286"/>
    <w:rsid w:val="00A84FAA"/>
    <w:rsid w:val="00A94073"/>
    <w:rsid w:val="00A9415B"/>
    <w:rsid w:val="00AB1756"/>
    <w:rsid w:val="00AC6A2E"/>
    <w:rsid w:val="00AD78B9"/>
    <w:rsid w:val="00AE036A"/>
    <w:rsid w:val="00AE555B"/>
    <w:rsid w:val="00B16E80"/>
    <w:rsid w:val="00B75DA0"/>
    <w:rsid w:val="00B76805"/>
    <w:rsid w:val="00BF181A"/>
    <w:rsid w:val="00C30EBE"/>
    <w:rsid w:val="00C30F25"/>
    <w:rsid w:val="00C45821"/>
    <w:rsid w:val="00C90152"/>
    <w:rsid w:val="00CC1C0C"/>
    <w:rsid w:val="00CE2403"/>
    <w:rsid w:val="00D40DD3"/>
    <w:rsid w:val="00D471DA"/>
    <w:rsid w:val="00D61F2F"/>
    <w:rsid w:val="00D70121"/>
    <w:rsid w:val="00D73A73"/>
    <w:rsid w:val="00E07D8F"/>
    <w:rsid w:val="00E11C4A"/>
    <w:rsid w:val="00E21197"/>
    <w:rsid w:val="00E22E6C"/>
    <w:rsid w:val="00E419D8"/>
    <w:rsid w:val="00E41F32"/>
    <w:rsid w:val="00E46E1F"/>
    <w:rsid w:val="00E50307"/>
    <w:rsid w:val="00E6285D"/>
    <w:rsid w:val="00E8753A"/>
    <w:rsid w:val="00E92708"/>
    <w:rsid w:val="00EA45C5"/>
    <w:rsid w:val="00EA6819"/>
    <w:rsid w:val="00EA6F62"/>
    <w:rsid w:val="00EC51A9"/>
    <w:rsid w:val="00EE1F95"/>
    <w:rsid w:val="00EE3820"/>
    <w:rsid w:val="00FC1EF6"/>
    <w:rsid w:val="072A2909"/>
    <w:rsid w:val="0E2B4424"/>
    <w:rsid w:val="0F026FAC"/>
    <w:rsid w:val="0F263B22"/>
    <w:rsid w:val="15234FF9"/>
    <w:rsid w:val="2A5609B2"/>
    <w:rsid w:val="30910060"/>
    <w:rsid w:val="353B2009"/>
    <w:rsid w:val="38A808C0"/>
    <w:rsid w:val="4D4C32A6"/>
    <w:rsid w:val="51C262C0"/>
    <w:rsid w:val="59332FCA"/>
    <w:rsid w:val="5EAD0BD1"/>
    <w:rsid w:val="5FC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cs="仿宋_GB2312"/>
      <w:szCs w:val="32"/>
      <w:lang w:val="zh-CN" w:bidi="zh-CN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批注框文本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日期 Char"/>
    <w:basedOn w:val="11"/>
    <w:link w:val="4"/>
    <w:qFormat/>
    <w:uiPriority w:val="0"/>
    <w:rPr>
      <w:rFonts w:ascii="Calibri" w:hAnsi="Calibri"/>
      <w:kern w:val="2"/>
      <w:sz w:val="21"/>
      <w:szCs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首行缩进1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豫自然资办发〔2019〕40号附件4</Template>
  <Company>CHINA</Company>
  <Pages>2</Pages>
  <Words>62</Words>
  <Characters>360</Characters>
  <Lines>3</Lines>
  <Paragraphs>1</Paragraphs>
  <TotalTime>4</TotalTime>
  <ScaleCrop>false</ScaleCrop>
  <LinksUpToDate>false</LinksUpToDate>
  <CharactersWithSpaces>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2019-07-25T08:12:00Z</dcterms:created>
  <dc:creator>文印2</dc:creator>
  <cp:lastModifiedBy>蔡财才</cp:lastModifiedBy>
  <cp:lastPrinted>2020-09-03T03:09:00Z</cp:lastPrinted>
  <dcterms:modified xsi:type="dcterms:W3CDTF">2021-01-19T08:02:24Z</dcterms:modified>
  <dc:title>中华人民共和国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